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IP Box to uderzenie w innowacyjność.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30 września 2025] – Jan Paweł Grabowski, szef trzebnickich struktur Ruchu Narodowego, stanowczo skrytykował proponowane przez Ministerstwo Finansów zaostrzenie kryteriów dostępu do ulgi IP Box. Planowane zmiany, uzależniające możliwość skorzystania z 5-procentowej stawki PIT od zatrudnienia co najmniej trzech niepowiązanych osób, mają uderzyć przede wszystkim w programistów prowadzących jednoosobową działalność gospodarczą.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definicji ulgi i jej skutki dla sektora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Ulga IP Box (Innovation Box) została wprowadzona, by zwiększyć atrakcyjność prowadzenia działalności badawczo-rozwojowej w Polsce, oferując 5-procentową stawkę podatku od dochodów generowanych z kwalifikowanych praw własności intelektualnej, w tym z autorskich praw do programów komputerowych. Ministerstwo Finansów planuje jednak wyeliminować z preferencji liczną grupę specjalistów, uzasadniając to „wykorzystywaniem ulgi w sposób sprzeczny z celem regulacji”.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struktur Ruchu Narodowego w Trzebnicy, stwierdza wprost: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„Wprowadzanie warunku zatrudnienia co najmniej trzech osób to de facto blokada innowacyjności i karanie najbardziej efektywnych mikroprzedsiębiorców. Programista pracujący na B2B często jest twórcą unikalnych rozwiązań – zgodnie z pierwotnym celem ulgi. Zamiast upraszczać system i wspierać twórczość, zmusza się go do sztucznego generowania kosztów zatrudnienia, co często jest nieefektywne i uderza w elastyczność pracy. To nie jest walka o cel regulacji, to jest podatek od sukcesu."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Danina solidarnościowa i inne obciążenia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Krytyka dotyczy również innych planowanych zmian. Resort Finansów zamierza objąć dochody kwalifikowane do ulgi IP Box </w:t>
      </w:r>
      <w:r>
        <w:rPr>
          <w:rFonts w:ascii="calibri" w:hAnsi="calibri" w:eastAsia="calibri" w:cs="calibri"/>
          <w:sz w:val="24"/>
          <w:szCs w:val="24"/>
          <w:b/>
        </w:rPr>
        <w:t xml:space="preserve">4-procentową daniną solidarnościową</w:t>
      </w:r>
      <w:r>
        <w:rPr>
          <w:rFonts w:ascii="calibri" w:hAnsi="calibri" w:eastAsia="calibri" w:cs="calibri"/>
          <w:sz w:val="24"/>
          <w:szCs w:val="24"/>
        </w:rPr>
        <w:t xml:space="preserve">, płatną od nadwyżki dochodów przekraczającej 1 mln złotych. Oznacza to, że najlepsi twórcy oprogramowania zostaną objęci dodatkowym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zwraca uwagę, że dodatkowo w ustawie ma pojawić się zapis, który </w:t>
      </w:r>
      <w:r>
        <w:rPr>
          <w:rFonts w:ascii="calibri" w:hAnsi="calibri" w:eastAsia="calibri" w:cs="calibri"/>
          <w:sz w:val="24"/>
          <w:szCs w:val="24"/>
          <w:b/>
        </w:rPr>
        <w:t xml:space="preserve">wyklucza możliwość pomniejszenia dochodów objętych daniną solidarnościową o jakiekolwiek inne przysługujące odliczenia</w:t>
      </w:r>
      <w:r>
        <w:rPr>
          <w:rFonts w:ascii="calibri" w:hAnsi="calibri" w:eastAsia="calibri" w:cs="calibri"/>
          <w:sz w:val="24"/>
          <w:szCs w:val="24"/>
        </w:rPr>
        <w:t xml:space="preserve">. Jest to działanie zwiększające obciążenia finansowe wbrew oczekiwaniom środowisk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ucieczki do ryczałtu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przewidują eksperci rynku IT, skutkiem planowanych regulacji będzie masowa migracja programistów na </w:t>
      </w:r>
      <w:r>
        <w:rPr>
          <w:rFonts w:ascii="calibri" w:hAnsi="calibri" w:eastAsia="calibri" w:cs="calibri"/>
          <w:sz w:val="24"/>
          <w:szCs w:val="24"/>
          <w:b/>
        </w:rPr>
        <w:t xml:space="preserve">ryczałt od przychodów ewidencjonowanych</w:t>
      </w:r>
      <w:r>
        <w:rPr>
          <w:rFonts w:ascii="calibri" w:hAnsi="calibri" w:eastAsia="calibri" w:cs="calibri"/>
          <w:sz w:val="24"/>
          <w:szCs w:val="24"/>
        </w:rPr>
        <w:t xml:space="preserve"> ze stawkami 8,5% lub 12%, mimo iż kwestia stawki dla informatyków jest w praktyce często sporna z fiskusem.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„Polski Ład i obecne plany Ministerstwa Finansów to sygnał, że państwo nie docenia innowatorów. Zamiast oferować stabilne, proste i niskie podatki dla twórców, skłaniamy ich do optymalizacji, a w skrajnych przypadkach – do szukania pracy poza Polską. Trzeba wspierać działalność B+R realnie, a nie poprzez wprowadzanie skomplikowanych biurokratycznych barier”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Jan Paweł Grabowski.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2026-06-16T07:54:00+02:00</dcterms:created>
  <dcterms:modified xsi:type="dcterms:W3CDTF">2026-06-16T07:54:00+02:00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